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73E83" w14:textId="51D60B9E" w:rsidR="00EB2CD9" w:rsidRPr="00EB2CD9" w:rsidRDefault="00EB2CD9" w:rsidP="00EB2CD9">
      <w:pPr>
        <w:widowControl/>
        <w:autoSpaceDE/>
        <w:autoSpaceDN/>
        <w:spacing w:before="100" w:beforeAutospacing="1" w:after="100" w:afterAutospacing="1"/>
        <w:rPr>
          <w:rFonts w:eastAsia="Times New Roman"/>
          <w:b/>
          <w:bCs/>
          <w:lang w:val="pt-BR" w:eastAsia="pt-BR" w:bidi="ar-SA"/>
        </w:rPr>
      </w:pPr>
    </w:p>
    <w:p w14:paraId="0E4B3ECA" w14:textId="77777777" w:rsidR="00EB2CD9" w:rsidRPr="00EB2CD9" w:rsidRDefault="00EB2CD9" w:rsidP="00EB2CD9">
      <w:pPr>
        <w:pStyle w:val="NormalWeb"/>
        <w:jc w:val="center"/>
        <w:rPr>
          <w:rFonts w:ascii="Arial" w:hAnsi="Arial" w:cs="Arial"/>
        </w:rPr>
      </w:pPr>
      <w:r w:rsidRPr="00EB2CD9">
        <w:rPr>
          <w:rStyle w:val="Forte"/>
          <w:rFonts w:ascii="Arial" w:hAnsi="Arial" w:cs="Arial"/>
        </w:rPr>
        <w:t>PROCESSO SELETIVO SIMPLIFICADO N.º 02/2025</w:t>
      </w:r>
      <w:r w:rsidRPr="00EB2CD9">
        <w:rPr>
          <w:rFonts w:ascii="Arial" w:hAnsi="Arial" w:cs="Arial"/>
        </w:rPr>
        <w:br/>
      </w:r>
      <w:r w:rsidRPr="00EB2CD9">
        <w:rPr>
          <w:rStyle w:val="Forte"/>
          <w:rFonts w:ascii="Arial" w:hAnsi="Arial" w:cs="Arial"/>
        </w:rPr>
        <w:t>IMPUGNAÇÃO AO EDITAL N.º 02/2025</w:t>
      </w:r>
    </w:p>
    <w:p w14:paraId="5D988DFE" w14:textId="77777777" w:rsidR="00EB2CD9" w:rsidRDefault="00EB2CD9" w:rsidP="00EB2CD9">
      <w:pPr>
        <w:pStyle w:val="NormalWeb"/>
        <w:jc w:val="both"/>
        <w:rPr>
          <w:rFonts w:ascii="Arial" w:hAnsi="Arial" w:cs="Arial"/>
        </w:rPr>
      </w:pPr>
    </w:p>
    <w:p w14:paraId="77B4750A" w14:textId="1E452491" w:rsidR="00EB2CD9" w:rsidRP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Fonts w:ascii="Arial" w:hAnsi="Arial" w:cs="Arial"/>
        </w:rPr>
        <w:t xml:space="preserve">O </w:t>
      </w:r>
      <w:r w:rsidRPr="00EB2CD9">
        <w:rPr>
          <w:rStyle w:val="Forte"/>
          <w:rFonts w:ascii="Arial" w:hAnsi="Arial" w:cs="Arial"/>
        </w:rPr>
        <w:t>Município de Salto do Itararé/PR</w:t>
      </w:r>
      <w:r w:rsidRPr="00EB2CD9">
        <w:rPr>
          <w:rFonts w:ascii="Arial" w:hAnsi="Arial" w:cs="Arial"/>
        </w:rPr>
        <w:t xml:space="preserve">, por meio de sua </w:t>
      </w:r>
      <w:r w:rsidRPr="00EB2CD9">
        <w:rPr>
          <w:rStyle w:val="Forte"/>
          <w:rFonts w:ascii="Arial" w:hAnsi="Arial" w:cs="Arial"/>
        </w:rPr>
        <w:t>Comissão Organizadora e Avaliadora do Processo Seletivo Simplificado n.º 02/2025</w:t>
      </w:r>
      <w:r w:rsidRPr="00EB2CD9">
        <w:rPr>
          <w:rFonts w:ascii="Arial" w:hAnsi="Arial" w:cs="Arial"/>
        </w:rPr>
        <w:t xml:space="preserve">, nomeada pela Portaria Municipal n.º 04/2025, no uso de suas atribuições legais, analisa a </w:t>
      </w:r>
      <w:r w:rsidRPr="00EB2CD9">
        <w:rPr>
          <w:rStyle w:val="Forte"/>
          <w:rFonts w:ascii="Arial" w:hAnsi="Arial" w:cs="Arial"/>
        </w:rPr>
        <w:t>impugnação apresentada por candidatos interessados</w:t>
      </w:r>
      <w:r w:rsidRPr="00EB2CD9">
        <w:rPr>
          <w:rFonts w:ascii="Arial" w:hAnsi="Arial" w:cs="Arial"/>
        </w:rPr>
        <w:t>, protocolada em 16/01/2025, referente ao Edital n.º 02/2025.</w:t>
      </w:r>
    </w:p>
    <w:p w14:paraId="60FB0089" w14:textId="320D3838" w:rsid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Fonts w:ascii="Arial" w:hAnsi="Arial" w:cs="Arial"/>
        </w:rPr>
        <w:t>Após cuidadosa análise dos argumentos apresentados, decide-se o que segue:</w:t>
      </w:r>
    </w:p>
    <w:p w14:paraId="40328FBD" w14:textId="77777777" w:rsidR="00EB2CD9" w:rsidRPr="00EB2CD9" w:rsidRDefault="00EB2CD9" w:rsidP="00EB2CD9">
      <w:pPr>
        <w:pStyle w:val="NormalWeb"/>
        <w:rPr>
          <w:rFonts w:ascii="Arial" w:hAnsi="Arial" w:cs="Arial"/>
        </w:rPr>
      </w:pPr>
    </w:p>
    <w:p w14:paraId="5F196B34" w14:textId="53FD9746" w:rsidR="00EB2CD9" w:rsidRPr="00EB2CD9" w:rsidRDefault="00EB2CD9" w:rsidP="00EB2CD9">
      <w:pPr>
        <w:pStyle w:val="Ttulo3"/>
        <w:rPr>
          <w:rFonts w:ascii="Arial" w:hAnsi="Arial" w:cs="Arial"/>
          <w:color w:val="auto"/>
        </w:rPr>
      </w:pPr>
      <w:r w:rsidRPr="00EB2CD9">
        <w:rPr>
          <w:rStyle w:val="Forte"/>
          <w:rFonts w:ascii="Arial" w:hAnsi="Arial" w:cs="Arial"/>
          <w:color w:val="auto"/>
        </w:rPr>
        <w:t>I - TEMPESTIVIDADE</w:t>
      </w:r>
    </w:p>
    <w:p w14:paraId="6D3298DB" w14:textId="6EC125DE" w:rsid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Fonts w:ascii="Arial" w:hAnsi="Arial" w:cs="Arial"/>
        </w:rPr>
        <w:t>Reconhece-se a tempestividade da impugnação, considerando que foi protocolada antes do término do período de inscrições, conforme previsão expressa no edital.</w:t>
      </w:r>
    </w:p>
    <w:p w14:paraId="02D6982F" w14:textId="77777777" w:rsidR="00EB2CD9" w:rsidRPr="00EB2CD9" w:rsidRDefault="00EB2CD9" w:rsidP="00EB2CD9">
      <w:pPr>
        <w:pStyle w:val="NormalWeb"/>
        <w:rPr>
          <w:rFonts w:ascii="Arial" w:hAnsi="Arial" w:cs="Arial"/>
        </w:rPr>
      </w:pPr>
    </w:p>
    <w:p w14:paraId="46D4AEDD" w14:textId="3D15329C" w:rsidR="00EB2CD9" w:rsidRPr="00EB2CD9" w:rsidRDefault="00EB2CD9" w:rsidP="00EB2CD9">
      <w:pPr>
        <w:pStyle w:val="Ttulo3"/>
        <w:rPr>
          <w:rFonts w:ascii="Arial" w:hAnsi="Arial" w:cs="Arial"/>
          <w:color w:val="auto"/>
        </w:rPr>
      </w:pPr>
      <w:r w:rsidRPr="00EB2CD9">
        <w:rPr>
          <w:rStyle w:val="Forte"/>
          <w:rFonts w:ascii="Arial" w:hAnsi="Arial" w:cs="Arial"/>
          <w:color w:val="auto"/>
        </w:rPr>
        <w:t>II - CONTAGEM PROPORCIONAL DO TEMPO DE SERVIÇO</w:t>
      </w:r>
    </w:p>
    <w:p w14:paraId="6F685A35" w14:textId="01B8814D" w:rsidR="00EB2CD9" w:rsidRP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Fonts w:ascii="Arial" w:hAnsi="Arial" w:cs="Arial"/>
        </w:rPr>
        <w:t>Os impugnantes alegam que a exigência de 12 meses completos para pontuação desconsidera períodos inferiores e prejudica candidatos que lecionaram durante o ano letivo, mas sem completar 12 meses de contrato.</w:t>
      </w:r>
    </w:p>
    <w:p w14:paraId="439F556C" w14:textId="11598989" w:rsid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Style w:val="Forte"/>
          <w:rFonts w:ascii="Arial" w:hAnsi="Arial" w:cs="Arial"/>
        </w:rPr>
        <w:t>Decisão:</w:t>
      </w:r>
      <w:r w:rsidRPr="00EB2CD9">
        <w:rPr>
          <w:rFonts w:ascii="Arial" w:hAnsi="Arial" w:cs="Arial"/>
        </w:rPr>
        <w:br/>
        <w:t xml:space="preserve">Entende-se que a exigência de 12 meses completos está alinhada ao critério de avaliação definido pelo Município, que visa à padronização e à clareza na análise dos títulos apresentados. Não há ilegalidade evidente no critério estabelecido, que se fundamenta no poder discricionário da Administração Pública para definir as regras do certame. Assim, </w:t>
      </w:r>
      <w:r w:rsidRPr="00EB2CD9">
        <w:rPr>
          <w:rStyle w:val="Forte"/>
          <w:rFonts w:ascii="Arial" w:hAnsi="Arial" w:cs="Arial"/>
        </w:rPr>
        <w:t>indefere-se o pedido de alteração do critério de contagem proporcional do tempo de serviço</w:t>
      </w:r>
      <w:r w:rsidRPr="00EB2CD9">
        <w:rPr>
          <w:rFonts w:ascii="Arial" w:hAnsi="Arial" w:cs="Arial"/>
        </w:rPr>
        <w:t>.</w:t>
      </w:r>
    </w:p>
    <w:p w14:paraId="32FDFE00" w14:textId="77777777" w:rsidR="00EB2CD9" w:rsidRPr="00EB2CD9" w:rsidRDefault="00EB2CD9" w:rsidP="00EB2CD9">
      <w:pPr>
        <w:pStyle w:val="NormalWeb"/>
        <w:rPr>
          <w:rFonts w:ascii="Arial" w:hAnsi="Arial" w:cs="Arial"/>
        </w:rPr>
      </w:pPr>
    </w:p>
    <w:p w14:paraId="69CC8110" w14:textId="40C46F27" w:rsidR="00EB2CD9" w:rsidRPr="00EB2CD9" w:rsidRDefault="00EB2CD9" w:rsidP="00EB2CD9">
      <w:pPr>
        <w:pStyle w:val="Ttulo3"/>
        <w:rPr>
          <w:rFonts w:ascii="Arial" w:hAnsi="Arial" w:cs="Arial"/>
          <w:color w:val="auto"/>
        </w:rPr>
      </w:pPr>
      <w:r w:rsidRPr="00EB2CD9">
        <w:rPr>
          <w:rStyle w:val="Forte"/>
          <w:rFonts w:ascii="Arial" w:hAnsi="Arial" w:cs="Arial"/>
          <w:color w:val="auto"/>
        </w:rPr>
        <w:t>III - CURSOS DE APERFEIÇOAMENTO REALIZADOS DURANTE A GRADUAÇÃO</w:t>
      </w:r>
    </w:p>
    <w:p w14:paraId="65802D0F" w14:textId="77777777" w:rsidR="00EB2CD9" w:rsidRP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Fonts w:ascii="Arial" w:hAnsi="Arial" w:cs="Arial"/>
        </w:rPr>
        <w:t>Os impugnantes argumentam que cursos realizados durante a graduação deveriam ser considerados para pontuação classificatória, pois possuem o mesmo valor pedagógico dos realizados após a colação de grau.</w:t>
      </w:r>
    </w:p>
    <w:p w14:paraId="014D8806" w14:textId="55060670" w:rsid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Style w:val="Forte"/>
          <w:rFonts w:ascii="Arial" w:hAnsi="Arial" w:cs="Arial"/>
        </w:rPr>
        <w:lastRenderedPageBreak/>
        <w:t>Decisão:</w:t>
      </w:r>
      <w:r w:rsidRPr="00EB2CD9">
        <w:rPr>
          <w:rFonts w:ascii="Arial" w:hAnsi="Arial" w:cs="Arial"/>
        </w:rPr>
        <w:br/>
        <w:t xml:space="preserve">O critério estabelecido no edital, que limita a pontuação a cursos realizados após a graduação, reflete o entendimento do Município sobre o que constitui efetivo aperfeiçoamento profissional, considerando a formação acadêmica completa como marco inicial. Não há ilegalidade no critério adotado, sendo uma decisão administrativa discricionária. Assim, </w:t>
      </w:r>
      <w:r w:rsidRPr="00EB2CD9">
        <w:rPr>
          <w:rStyle w:val="Forte"/>
          <w:rFonts w:ascii="Arial" w:hAnsi="Arial" w:cs="Arial"/>
        </w:rPr>
        <w:t>indefere-se o pedido de alteração para inclusão de cursos realizados durante a graduação</w:t>
      </w:r>
      <w:r w:rsidRPr="00EB2CD9">
        <w:rPr>
          <w:rFonts w:ascii="Arial" w:hAnsi="Arial" w:cs="Arial"/>
        </w:rPr>
        <w:t>.</w:t>
      </w:r>
    </w:p>
    <w:p w14:paraId="6331D89E" w14:textId="77777777" w:rsidR="00EB2CD9" w:rsidRPr="00EB2CD9" w:rsidRDefault="00EB2CD9" w:rsidP="00EB2CD9">
      <w:pPr>
        <w:pStyle w:val="NormalWeb"/>
        <w:rPr>
          <w:rFonts w:ascii="Arial" w:hAnsi="Arial" w:cs="Arial"/>
        </w:rPr>
      </w:pPr>
    </w:p>
    <w:p w14:paraId="25D45221" w14:textId="4D2E92BA" w:rsidR="00EB2CD9" w:rsidRPr="00EB2CD9" w:rsidRDefault="00EB2CD9" w:rsidP="00EB2CD9">
      <w:pPr>
        <w:pStyle w:val="Ttulo3"/>
        <w:rPr>
          <w:rFonts w:ascii="Arial" w:eastAsia="Times New Roman" w:hAnsi="Arial" w:cs="Arial"/>
          <w:color w:val="auto"/>
          <w:lang w:val="pt-BR" w:eastAsia="pt-BR" w:bidi="ar-SA"/>
        </w:rPr>
      </w:pPr>
      <w:r w:rsidRPr="00EB2CD9">
        <w:rPr>
          <w:rStyle w:val="Forte"/>
          <w:rFonts w:ascii="Arial" w:hAnsi="Arial" w:cs="Arial"/>
          <w:color w:val="auto"/>
        </w:rPr>
        <w:t>IV - AUTENTICAÇÃO DE DOCUMENTOS</w:t>
      </w:r>
    </w:p>
    <w:p w14:paraId="5D5F7156" w14:textId="77777777" w:rsidR="00EB2CD9" w:rsidRP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Fonts w:ascii="Arial" w:hAnsi="Arial" w:cs="Arial"/>
        </w:rPr>
        <w:t>Os impugnantes apontam que a exigência de autenticação de documentos gera custo elevado e dificulta o cumprimento no prazo estipulado.</w:t>
      </w:r>
    </w:p>
    <w:p w14:paraId="318BD6AC" w14:textId="77777777" w:rsidR="00EB2CD9" w:rsidRP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Style w:val="Forte"/>
          <w:rFonts w:ascii="Arial" w:hAnsi="Arial" w:cs="Arial"/>
        </w:rPr>
        <w:t>Decisão:</w:t>
      </w:r>
      <w:r w:rsidRPr="00EB2CD9">
        <w:rPr>
          <w:rFonts w:ascii="Arial" w:hAnsi="Arial" w:cs="Arial"/>
        </w:rPr>
        <w:br/>
        <w:t xml:space="preserve">Com fundamento no art. 3º da Lei Federal n.º 13.726/2018, </w:t>
      </w:r>
      <w:r w:rsidRPr="00EB2CD9">
        <w:rPr>
          <w:rStyle w:val="Forte"/>
          <w:rFonts w:ascii="Arial" w:hAnsi="Arial" w:cs="Arial"/>
        </w:rPr>
        <w:t>defere-se parcialmente o pedido, dispensando a exigência de autenticação cartorial das cópias apresentadas pelos candidatos</w:t>
      </w:r>
      <w:r w:rsidRPr="00EB2CD9">
        <w:rPr>
          <w:rFonts w:ascii="Arial" w:hAnsi="Arial" w:cs="Arial"/>
        </w:rPr>
        <w:t>.</w:t>
      </w:r>
    </w:p>
    <w:p w14:paraId="5CB74393" w14:textId="77777777" w:rsidR="00EB2CD9" w:rsidRPr="00EB2CD9" w:rsidRDefault="00EB2CD9" w:rsidP="00EB2CD9">
      <w:pPr>
        <w:pStyle w:val="NormalWeb"/>
        <w:jc w:val="both"/>
        <w:rPr>
          <w:rFonts w:ascii="Arial" w:hAnsi="Arial" w:cs="Arial"/>
        </w:rPr>
      </w:pPr>
      <w:r w:rsidRPr="00517CFB">
        <w:rPr>
          <w:rFonts w:ascii="Arial" w:hAnsi="Arial" w:cs="Arial"/>
          <w:b/>
          <w:bCs/>
          <w:u w:val="single"/>
        </w:rPr>
        <w:t>A conferência da autenticidade dos documentos será realizada por agente administrativo no momento da inscrição, mediante a comparação entre os originais e as cópias entregues. Cabe ao candidato apresentar os documentos originais no ato da inscrição para validação</w:t>
      </w:r>
      <w:r w:rsidRPr="00EB2CD9">
        <w:rPr>
          <w:rFonts w:ascii="Arial" w:hAnsi="Arial" w:cs="Arial"/>
        </w:rPr>
        <w:t>.</w:t>
      </w:r>
    </w:p>
    <w:p w14:paraId="6FA3EEB3" w14:textId="77777777" w:rsidR="00EB2CD9" w:rsidRDefault="00EB2CD9" w:rsidP="00EB2CD9">
      <w:pPr>
        <w:pStyle w:val="Ttulo3"/>
        <w:rPr>
          <w:rStyle w:val="Forte"/>
          <w:rFonts w:ascii="Arial" w:hAnsi="Arial" w:cs="Arial"/>
          <w:b w:val="0"/>
          <w:bCs w:val="0"/>
          <w:color w:val="auto"/>
        </w:rPr>
      </w:pPr>
    </w:p>
    <w:p w14:paraId="392C3813" w14:textId="201AA754" w:rsidR="00EB2CD9" w:rsidRPr="00EB2CD9" w:rsidRDefault="00EB2CD9" w:rsidP="00EB2CD9">
      <w:pPr>
        <w:pStyle w:val="Ttulo3"/>
        <w:rPr>
          <w:rFonts w:ascii="Arial" w:hAnsi="Arial" w:cs="Arial"/>
          <w:color w:val="auto"/>
        </w:rPr>
      </w:pPr>
      <w:r w:rsidRPr="00EB2CD9">
        <w:rPr>
          <w:rStyle w:val="Forte"/>
          <w:rFonts w:ascii="Arial" w:hAnsi="Arial" w:cs="Arial"/>
          <w:color w:val="auto"/>
        </w:rPr>
        <w:t>V - PRAZO DE INSCRIÇÃO</w:t>
      </w:r>
    </w:p>
    <w:p w14:paraId="707012D5" w14:textId="77777777" w:rsidR="00EB2CD9" w:rsidRP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Fonts w:ascii="Arial" w:hAnsi="Arial" w:cs="Arial"/>
        </w:rPr>
        <w:t>Os impugnantes solicitam a prorrogação do prazo de inscrições, alegando que o período estabelecido é insuficiente para cumprimento das exigências do edital.</w:t>
      </w:r>
    </w:p>
    <w:p w14:paraId="168F5EBB" w14:textId="77777777" w:rsidR="00EB2CD9" w:rsidRPr="00EB2CD9" w:rsidRDefault="00EB2CD9" w:rsidP="00EB2CD9">
      <w:pPr>
        <w:pStyle w:val="NormalWeb"/>
        <w:jc w:val="both"/>
        <w:rPr>
          <w:rFonts w:ascii="Arial" w:hAnsi="Arial" w:cs="Arial"/>
        </w:rPr>
      </w:pPr>
      <w:r w:rsidRPr="00EB2CD9">
        <w:rPr>
          <w:rStyle w:val="Forte"/>
          <w:rFonts w:ascii="Arial" w:hAnsi="Arial" w:cs="Arial"/>
        </w:rPr>
        <w:t>Decisão:</w:t>
      </w:r>
      <w:r w:rsidRPr="00EB2CD9">
        <w:rPr>
          <w:rFonts w:ascii="Arial" w:hAnsi="Arial" w:cs="Arial"/>
        </w:rPr>
        <w:br/>
        <w:t xml:space="preserve">O prazo estabelecido foi amplamente divulgado e encontra-se dentro do critério de conveniência e oportunidade da Administração Pública. Não há ilegalidade ou desproporcionalidade evidenciada. Assim, </w:t>
      </w:r>
      <w:r w:rsidRPr="00EB2CD9">
        <w:rPr>
          <w:rStyle w:val="Forte"/>
          <w:rFonts w:ascii="Arial" w:hAnsi="Arial" w:cs="Arial"/>
        </w:rPr>
        <w:t>indefere-se o pedido de ampliação do prazo de inscrições</w:t>
      </w:r>
      <w:r w:rsidRPr="00EB2CD9">
        <w:rPr>
          <w:rFonts w:ascii="Arial" w:hAnsi="Arial" w:cs="Arial"/>
        </w:rPr>
        <w:t>.</w:t>
      </w:r>
    </w:p>
    <w:p w14:paraId="44B1735C" w14:textId="77777777" w:rsidR="00517CFB" w:rsidRDefault="00517CFB" w:rsidP="00EB2CD9">
      <w:pPr>
        <w:pStyle w:val="Ttulo3"/>
        <w:rPr>
          <w:rStyle w:val="Forte"/>
          <w:rFonts w:ascii="Arial" w:hAnsi="Arial" w:cs="Arial"/>
          <w:b w:val="0"/>
          <w:bCs w:val="0"/>
          <w:color w:val="auto"/>
        </w:rPr>
      </w:pPr>
    </w:p>
    <w:p w14:paraId="379376F4" w14:textId="23C939B1" w:rsidR="00EB2CD9" w:rsidRPr="00517CFB" w:rsidRDefault="00517CFB" w:rsidP="00EB2CD9">
      <w:pPr>
        <w:pStyle w:val="Ttulo3"/>
        <w:rPr>
          <w:rFonts w:ascii="Arial" w:hAnsi="Arial" w:cs="Arial"/>
          <w:color w:val="auto"/>
        </w:rPr>
      </w:pPr>
      <w:r w:rsidRPr="00517CFB">
        <w:rPr>
          <w:rStyle w:val="Forte"/>
          <w:rFonts w:ascii="Arial" w:hAnsi="Arial" w:cs="Arial"/>
          <w:color w:val="auto"/>
        </w:rPr>
        <w:t>VI - CONCLUSÃO</w:t>
      </w:r>
    </w:p>
    <w:p w14:paraId="2F473573" w14:textId="77777777" w:rsidR="00EB2CD9" w:rsidRPr="00EB2CD9" w:rsidRDefault="00EB2CD9" w:rsidP="00517CFB">
      <w:pPr>
        <w:pStyle w:val="NormalWeb"/>
        <w:jc w:val="both"/>
        <w:rPr>
          <w:rFonts w:ascii="Arial" w:hAnsi="Arial" w:cs="Arial"/>
        </w:rPr>
      </w:pPr>
      <w:r w:rsidRPr="00EB2CD9">
        <w:rPr>
          <w:rFonts w:ascii="Arial" w:hAnsi="Arial" w:cs="Arial"/>
        </w:rPr>
        <w:t>A Administração Pública possui discricionariedade para estabelecer os critérios de seleção no Processo Seletivo Simplificado, desde que respeitados os princípios constitucionais e legais.</w:t>
      </w:r>
    </w:p>
    <w:p w14:paraId="59DA4934" w14:textId="77777777" w:rsidR="00EB2CD9" w:rsidRPr="00EB2CD9" w:rsidRDefault="00EB2CD9" w:rsidP="00517CFB">
      <w:pPr>
        <w:pStyle w:val="NormalWeb"/>
        <w:jc w:val="both"/>
        <w:rPr>
          <w:rFonts w:ascii="Arial" w:hAnsi="Arial" w:cs="Arial"/>
        </w:rPr>
      </w:pPr>
      <w:r w:rsidRPr="00EB2CD9">
        <w:rPr>
          <w:rFonts w:ascii="Arial" w:hAnsi="Arial" w:cs="Arial"/>
        </w:rPr>
        <w:t>Diante do exposto, decide-se:</w:t>
      </w:r>
    </w:p>
    <w:p w14:paraId="26373439" w14:textId="0360C22E" w:rsidR="00EB2CD9" w:rsidRPr="00EB2CD9" w:rsidRDefault="00EB2CD9" w:rsidP="00517CFB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EB2CD9">
        <w:rPr>
          <w:rStyle w:val="Forte"/>
          <w:sz w:val="24"/>
          <w:szCs w:val="24"/>
        </w:rPr>
        <w:t>Deferir parcialmente</w:t>
      </w:r>
      <w:r w:rsidRPr="00EB2CD9">
        <w:rPr>
          <w:sz w:val="24"/>
          <w:szCs w:val="24"/>
        </w:rPr>
        <w:t xml:space="preserve"> a impugnação, </w:t>
      </w:r>
      <w:r w:rsidRPr="00D21366">
        <w:rPr>
          <w:b/>
          <w:bCs/>
          <w:sz w:val="24"/>
          <w:szCs w:val="24"/>
          <w:highlight w:val="yellow"/>
          <w:u w:val="single"/>
        </w:rPr>
        <w:t>dispensando a autenticação cartorial das cópias de documentos, nos termos do art. 3º da Lei Federal n.º 13.726/2018;</w:t>
      </w:r>
      <w:r w:rsidR="00D21366" w:rsidRPr="00D21366">
        <w:rPr>
          <w:b/>
          <w:bCs/>
          <w:sz w:val="24"/>
          <w:szCs w:val="24"/>
          <w:highlight w:val="yellow"/>
          <w:u w:val="single"/>
        </w:rPr>
        <w:t xml:space="preserve"> a fim de dar efetividade a esta decisão, </w:t>
      </w:r>
      <w:r w:rsidR="00D21366" w:rsidRPr="00D21366">
        <w:rPr>
          <w:b/>
          <w:bCs/>
          <w:i/>
          <w:iCs/>
          <w:sz w:val="24"/>
          <w:szCs w:val="24"/>
          <w:highlight w:val="yellow"/>
          <w:u w:val="single"/>
        </w:rPr>
        <w:t>o prazo para inscrições fica ESTENDIDO até as 23:59h do dia 22/01/2025</w:t>
      </w:r>
      <w:r w:rsidR="00D21366" w:rsidRPr="00D21366">
        <w:rPr>
          <w:b/>
          <w:bCs/>
          <w:sz w:val="24"/>
          <w:szCs w:val="24"/>
          <w:highlight w:val="yellow"/>
          <w:u w:val="single"/>
        </w:rPr>
        <w:t xml:space="preserve">, para possibilitar aos candidatos que não conseguiram a autenticação por cartório </w:t>
      </w:r>
      <w:bookmarkStart w:id="0" w:name="_GoBack"/>
      <w:bookmarkEnd w:id="0"/>
      <w:r w:rsidR="00D21366" w:rsidRPr="00D21366">
        <w:rPr>
          <w:b/>
          <w:bCs/>
          <w:sz w:val="24"/>
          <w:szCs w:val="24"/>
          <w:highlight w:val="yellow"/>
          <w:u w:val="single"/>
        </w:rPr>
        <w:t>juntar as cópias simples no sítio eletrônico</w:t>
      </w:r>
      <w:r w:rsidR="00D21366">
        <w:rPr>
          <w:sz w:val="24"/>
          <w:szCs w:val="24"/>
        </w:rPr>
        <w:t>.</w:t>
      </w:r>
    </w:p>
    <w:p w14:paraId="2EDB2A80" w14:textId="77777777" w:rsidR="00EB2CD9" w:rsidRPr="00EB2CD9" w:rsidRDefault="00EB2CD9" w:rsidP="00517CFB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EB2CD9">
        <w:rPr>
          <w:rStyle w:val="Forte"/>
          <w:sz w:val="24"/>
          <w:szCs w:val="24"/>
        </w:rPr>
        <w:t>Indeferir os demais pedidos apresentados na impugnação</w:t>
      </w:r>
      <w:r w:rsidRPr="00EB2CD9">
        <w:rPr>
          <w:sz w:val="24"/>
          <w:szCs w:val="24"/>
        </w:rPr>
        <w:t>.</w:t>
      </w:r>
    </w:p>
    <w:p w14:paraId="28FA4865" w14:textId="77777777" w:rsidR="00EB2CD9" w:rsidRPr="00EB2CD9" w:rsidRDefault="00EB2CD9" w:rsidP="00517CFB">
      <w:pPr>
        <w:pStyle w:val="NormalWeb"/>
        <w:jc w:val="both"/>
        <w:rPr>
          <w:rFonts w:ascii="Arial" w:hAnsi="Arial" w:cs="Arial"/>
        </w:rPr>
      </w:pPr>
      <w:r w:rsidRPr="00EB2CD9">
        <w:rPr>
          <w:rFonts w:ascii="Arial" w:hAnsi="Arial" w:cs="Arial"/>
        </w:rPr>
        <w:t>Esta decisão será publicada no Diário Oficial do Município e divulgada no site oficial da Prefeitura, conforme previsto no edital.</w:t>
      </w:r>
    </w:p>
    <w:p w14:paraId="6F20B9C3" w14:textId="77777777" w:rsidR="00EB2CD9" w:rsidRPr="00EB2CD9" w:rsidRDefault="00EB2CD9" w:rsidP="00EB2CD9">
      <w:pPr>
        <w:pStyle w:val="NormalWeb"/>
        <w:rPr>
          <w:rFonts w:ascii="Arial" w:hAnsi="Arial" w:cs="Arial"/>
        </w:rPr>
      </w:pPr>
    </w:p>
    <w:p w14:paraId="56B85812" w14:textId="55835FE1" w:rsidR="00EB2CD9" w:rsidRPr="00EB2CD9" w:rsidRDefault="00EB2CD9" w:rsidP="00EB2CD9">
      <w:pPr>
        <w:pStyle w:val="NormalWeb"/>
        <w:jc w:val="center"/>
        <w:rPr>
          <w:rStyle w:val="Forte"/>
          <w:rFonts w:ascii="Arial" w:hAnsi="Arial" w:cs="Arial"/>
          <w:b w:val="0"/>
          <w:bCs w:val="0"/>
        </w:rPr>
      </w:pPr>
      <w:r w:rsidRPr="00EB2CD9">
        <w:rPr>
          <w:rStyle w:val="Forte"/>
          <w:rFonts w:ascii="Arial" w:hAnsi="Arial" w:cs="Arial"/>
          <w:b w:val="0"/>
          <w:bCs w:val="0"/>
        </w:rPr>
        <w:t>Salto do Itararé/PR, 17 de janeiro de 2025.</w:t>
      </w:r>
    </w:p>
    <w:p w14:paraId="2C022643" w14:textId="77777777" w:rsidR="00EB2CD9" w:rsidRPr="00517CFB" w:rsidRDefault="00EB2CD9" w:rsidP="00EB2CD9">
      <w:pPr>
        <w:pStyle w:val="NormalWeb"/>
        <w:jc w:val="center"/>
        <w:rPr>
          <w:rFonts w:ascii="Arial" w:hAnsi="Arial" w:cs="Arial"/>
          <w:b/>
          <w:bCs/>
          <w:sz w:val="12"/>
          <w:szCs w:val="12"/>
        </w:rPr>
      </w:pPr>
    </w:p>
    <w:p w14:paraId="79178E1E" w14:textId="77777777" w:rsidR="00EB2CD9" w:rsidRPr="00EB2CD9" w:rsidRDefault="00EB2CD9" w:rsidP="00EB2CD9">
      <w:pPr>
        <w:pStyle w:val="NormalWeb"/>
        <w:jc w:val="center"/>
        <w:rPr>
          <w:rFonts w:ascii="Arial" w:hAnsi="Arial" w:cs="Arial"/>
        </w:rPr>
      </w:pPr>
      <w:r w:rsidRPr="00EB2CD9">
        <w:rPr>
          <w:rStyle w:val="Forte"/>
          <w:rFonts w:ascii="Arial" w:hAnsi="Arial" w:cs="Arial"/>
        </w:rPr>
        <w:t>CLAUDECI JOSÉ DE OLIVEIRA</w:t>
      </w:r>
      <w:r w:rsidRPr="00EB2CD9">
        <w:rPr>
          <w:rFonts w:ascii="Arial" w:hAnsi="Arial" w:cs="Arial"/>
        </w:rPr>
        <w:br/>
      </w:r>
      <w:r w:rsidRPr="00EB2CD9">
        <w:rPr>
          <w:rStyle w:val="Forte"/>
          <w:rFonts w:ascii="Arial" w:hAnsi="Arial" w:cs="Arial"/>
        </w:rPr>
        <w:t>Prefeito Municipal</w:t>
      </w:r>
    </w:p>
    <w:p w14:paraId="36ADCE53" w14:textId="77777777" w:rsidR="00EB2CD9" w:rsidRPr="00EB2CD9" w:rsidRDefault="00EB2CD9" w:rsidP="00EB2CD9">
      <w:pPr>
        <w:widowControl/>
        <w:autoSpaceDE/>
        <w:autoSpaceDN/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pt-BR" w:eastAsia="pt-BR" w:bidi="ar-SA"/>
        </w:rPr>
      </w:pPr>
    </w:p>
    <w:sectPr w:rsidR="00EB2CD9" w:rsidRPr="00EB2CD9" w:rsidSect="0069053C">
      <w:headerReference w:type="default" r:id="rId8"/>
      <w:footerReference w:type="default" r:id="rId9"/>
      <w:pgSz w:w="11910" w:h="16840"/>
      <w:pgMar w:top="2268" w:right="1160" w:bottom="1520" w:left="1020" w:header="179" w:footer="1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227E7" w14:textId="77777777" w:rsidR="00F11881" w:rsidRDefault="00F11881">
      <w:r>
        <w:separator/>
      </w:r>
    </w:p>
  </w:endnote>
  <w:endnote w:type="continuationSeparator" w:id="0">
    <w:p w14:paraId="0934F92E" w14:textId="77777777" w:rsidR="00F11881" w:rsidRDefault="00F1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6C32" w14:textId="77777777" w:rsidR="00FF4C67" w:rsidRDefault="007107D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77344" behindDoc="1" locked="0" layoutInCell="1" allowOverlap="1" wp14:anchorId="69FCFFAA" wp14:editId="29E90F8D">
              <wp:simplePos x="0" y="0"/>
              <wp:positionH relativeFrom="page">
                <wp:posOffset>6647815</wp:posOffset>
              </wp:positionH>
              <wp:positionV relativeFrom="page">
                <wp:posOffset>9705340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30107" w14:textId="7B0F17A8" w:rsidR="00FF4C67" w:rsidRDefault="006E4CE8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57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CFF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45pt;margin-top:764.2pt;width:10.15pt;height:14.3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hw6AEAALwDAAAOAAAAZHJzL2Uyb0RvYy54bWysU9tu2zAMfR+wfxD0vtgx1iEz4hRdiw4D&#10;ugvQ7gMUWbKFWaJGKbGzrx8lx1m3vQ17ESiKPDw8pLbXkx3YUWEw4Bq+XpWcKSehNa5r+Nen+1cb&#10;zkIUrhUDONXwkwr8evfyxXb0taqgh6FVyAjEhXr0De9j9HVRBNkrK8IKvHL0qAGtiHTFrmhRjIRu&#10;h6IqyzfFCNh6BKlCIO/d/Mh3GV9rJeNnrYOKbGg4cYv5xHzu01nstqLuUPjeyDMN8Q8srDCOil6g&#10;7kQU7IDmLyhrJEIAHVcSbAFaG6lyD9TNuvyjm8deeJV7IXGCv8gU/h+s/HT8gsy0Da84c8LSiJ7U&#10;FNk7mNg6qTP6UFPQo6ewOJGbppw7Df4B5LfAHNz2wnXqBhHGXomW2OXM4lnqjBMSyH78CC2VEYcI&#10;GWjSaJN0JAYjdJrS6TKZREWmktXmbXnFmaSn9aaqXl8lboWol2SPIb5XYFkyGo40+Awujg8hzqFL&#10;SKrl4N4MQx7+4H5zEGbyZPKJ78w8Tvspq3TRZA/tibpBmFeKvgAZPeAPzkZap4aH7weBirPhgyNF&#10;0u4tBi7GfjGEk5Ta8MjZbN7GeUcPHk3XE/KsuYMbUk2b3FGSd2ZxpksrkjU5r3Pawef3HPXr0+1+&#10;AgAA//8DAFBLAwQUAAYACAAAACEACxfO6uMAAAAPAQAADwAAAGRycy9kb3ducmV2LnhtbEyPwW7C&#10;MBBE75X4B2uReis2EQRI4yBUtadKVUN66NFJlsQiXqexgfTv65zobWd3NPsm3Y+mY1ccnLYkYbkQ&#10;wJAqW2tqJHwVb09bYM4rqlVnCSX8ooN9NntIVVLbG+V4PfqGhRByiZLQet8nnLuqRaPcwvZI4Xay&#10;g1E+yKHh9aBuIdx0PBIi5kZpCh9a1eNLi9X5eDESDt+Uv+qfj/IzP+W6KHaC3uOzlI/z8fAMzOPo&#10;72aY8AM6ZIGptBeqHeuCFqt4F7xhWkfbFbDJI+JNBKycduvNEniW8v89sj8AAAD//wMAUEsBAi0A&#10;FAAGAAgAAAAhALaDOJL+AAAA4QEAABMAAAAAAAAAAAAAAAAAAAAAAFtDb250ZW50X1R5cGVzXS54&#10;bWxQSwECLQAUAAYACAAAACEAOP0h/9YAAACUAQAACwAAAAAAAAAAAAAAAAAvAQAAX3JlbHMvLnJl&#10;bHNQSwECLQAUAAYACAAAACEAdQ+IcOgBAAC8AwAADgAAAAAAAAAAAAAAAAAuAgAAZHJzL2Uyb0Rv&#10;Yy54bWxQSwECLQAUAAYACAAAACEACxfO6uMAAAAPAQAADwAAAAAAAAAAAAAAAABCBAAAZHJzL2Rv&#10;d25yZXYueG1sUEsFBgAAAAAEAAQA8wAAAFIFAAAAAA==&#10;" filled="f" stroked="f">
              <v:textbox inset="0,0,0,0">
                <w:txbxContent>
                  <w:p w14:paraId="36030107" w14:textId="7B0F17A8" w:rsidR="00FF4C67" w:rsidRDefault="006E4CE8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57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FDF26" w14:textId="77777777" w:rsidR="00F11881" w:rsidRDefault="00F11881">
      <w:r>
        <w:separator/>
      </w:r>
    </w:p>
  </w:footnote>
  <w:footnote w:type="continuationSeparator" w:id="0">
    <w:p w14:paraId="682EE35D" w14:textId="77777777" w:rsidR="00F11881" w:rsidRDefault="00F1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26A8" w14:textId="66178BE3" w:rsidR="00FF4C67" w:rsidRDefault="00EF579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76320" behindDoc="1" locked="0" layoutInCell="1" allowOverlap="1" wp14:anchorId="51EE3447" wp14:editId="5630646B">
              <wp:simplePos x="0" y="0"/>
              <wp:positionH relativeFrom="page">
                <wp:align>center</wp:align>
              </wp:positionH>
              <wp:positionV relativeFrom="page">
                <wp:posOffset>876935</wp:posOffset>
              </wp:positionV>
              <wp:extent cx="3961765" cy="970915"/>
              <wp:effectExtent l="0" t="0" r="63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E842" w14:textId="31479E25" w:rsidR="00FF4C67" w:rsidRDefault="00EF5797">
                          <w:pPr>
                            <w:spacing w:before="256"/>
                            <w:ind w:left="44" w:right="44"/>
                            <w:jc w:val="center"/>
                            <w:rPr>
                              <w:rFonts w:ascii="Bookman Old Style"/>
                              <w:i/>
                              <w:sz w:val="20"/>
                            </w:rPr>
                          </w:pPr>
                          <w:r>
                            <w:rPr>
                              <w:rFonts w:ascii="Bookman Old Style"/>
                              <w:i/>
                              <w:sz w:val="20"/>
                            </w:rPr>
                            <w:t>C</w:t>
                          </w:r>
                          <w:r w:rsidR="006E4CE8">
                            <w:rPr>
                              <w:rFonts w:ascii="Bookman Old Style"/>
                              <w:i/>
                              <w:sz w:val="20"/>
                            </w:rPr>
                            <w:t>NPJ. 76.920.834/0001-87</w:t>
                          </w:r>
                        </w:p>
                        <w:p w14:paraId="299B163A" w14:textId="77777777" w:rsidR="00FF4C67" w:rsidRDefault="006E4CE8">
                          <w:pPr>
                            <w:spacing w:before="6"/>
                            <w:ind w:left="44" w:right="44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Rua Eduardo Bertoni Junior, 471 – Fone/Fax (43) 3579 1607 CEP 84945-000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E34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9.05pt;width:311.95pt;height:76.45pt;z-index:-2517401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pbW6gEAALYDAAAOAAAAZHJzL2Uyb0RvYy54bWysU9tu2zAMfR+wfxD0vjjO1nQx4hRdiw4D&#10;ugvQ9gNoWY6F2aJGKbGzrx8lJ1m3vg17EWiKOjw8PF5fjX0n9pq8QVvKfDaXQluFtbHbUj493r15&#10;L4UPYGvo0OpSHrSXV5vXr9aDK/QCW+xqTYJBrC8GV8o2BFdkmVet7sHP0GnLlw1SD4E/aZvVBAOj&#10;9122mM+X2YBUO0Klvefs7XQpNwm/abQKX5vG6yC6UjK3kE5KZxXPbLOGYkvgWqOONOAfWPRgLDc9&#10;Q91CALEj8wKqN4rQYxNmCvsMm8YonWbgafL5X9M8tOB0moXF8e4sk/9/sOrL/hsJU5fynRQWel7R&#10;ox6D+ICjWER1BucLLnpwXBZGTvOW06Te3aP67oXFmxbsVl8T4dBqqJldHl9mz55OOD6CVMNnrLkN&#10;7AImoLGhPkrHYghG5y0dzpuJVBQn366W+eXyQgrFd6vL+Sq/SC2gOL125MNHjb2IQSmJN5/QYX/v&#10;Q2QDxakkNrN4Z7oubb+zfyS4MGYS+0h4oh7GajyqUWF94DkIJzOx+TlokX5KMbCRSul/7IC0FN0n&#10;y1pE150COgXVKQCr+GkpgxRTeBMmd+4cmW3LyJPaFq9Zr8akUaKwE4sjTzZHmvBo5Oi+59+p6vfv&#10;tvkFAAD//wMAUEsDBBQABgAIAAAAIQASGxFj3gAAAAgBAAAPAAAAZHJzL2Rvd25yZXYueG1sTI/B&#10;TsMwEETvSP0Ha5G4UTupFDUhTlVVcEJCpOHA0Ym3idV4HWK3DX+POcFxdlYzb8rdYkd2xdkbRxKS&#10;tQCG1DltqJfw0bw8boH5oEir0RFK+EYPu2p1V6pCuxvVeD2GnsUQ8oWSMIQwFZz7bkCr/NpNSNE7&#10;udmqEOXccz2rWwy3I0+FyLhVhmLDoCY8DNidjxcrYf9J9bP5emvf61NtmiYX9JqdpXy4X/ZPwAIu&#10;4e8ZfvEjOlSRqXUX0p6NEuKQEK+bbQIs2lm6yYG1EtI8EcCrkv8fUP0AAAD//wMAUEsBAi0AFAAG&#10;AAgAAAAhALaDOJL+AAAA4QEAABMAAAAAAAAAAAAAAAAAAAAAAFtDb250ZW50X1R5cGVzXS54bWxQ&#10;SwECLQAUAAYACAAAACEAOP0h/9YAAACUAQAACwAAAAAAAAAAAAAAAAAvAQAAX3JlbHMvLnJlbHNQ&#10;SwECLQAUAAYACAAAACEARvKW1uoBAAC2AwAADgAAAAAAAAAAAAAAAAAuAgAAZHJzL2Uyb0RvYy54&#10;bWxQSwECLQAUAAYACAAAACEAEhsRY94AAAAIAQAADwAAAAAAAAAAAAAAAABEBAAAZHJzL2Rvd25y&#10;ZXYueG1sUEsFBgAAAAAEAAQA8wAAAE8FAAAAAA==&#10;" filled="f" stroked="f">
              <v:textbox inset="0,0,0,0">
                <w:txbxContent>
                  <w:p w14:paraId="5EC0E842" w14:textId="31479E25" w:rsidR="00FF4C67" w:rsidRDefault="00EF5797">
                    <w:pPr>
                      <w:spacing w:before="256"/>
                      <w:ind w:left="44" w:right="44"/>
                      <w:jc w:val="center"/>
                      <w:rPr>
                        <w:rFonts w:ascii="Bookman Old Style"/>
                        <w:i/>
                        <w:sz w:val="20"/>
                      </w:rPr>
                    </w:pPr>
                    <w:r>
                      <w:rPr>
                        <w:rFonts w:ascii="Bookman Old Style"/>
                        <w:i/>
                        <w:sz w:val="20"/>
                      </w:rPr>
                      <w:t>C</w:t>
                    </w:r>
                    <w:r w:rsidR="006E4CE8">
                      <w:rPr>
                        <w:rFonts w:ascii="Bookman Old Style"/>
                        <w:i/>
                        <w:sz w:val="20"/>
                      </w:rPr>
                      <w:t>NPJ. 76.920.834/0001-87</w:t>
                    </w:r>
                  </w:p>
                  <w:p w14:paraId="299B163A" w14:textId="77777777" w:rsidR="00FF4C67" w:rsidRDefault="006E4CE8">
                    <w:pPr>
                      <w:spacing w:before="6"/>
                      <w:ind w:left="44" w:right="4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Rua Eduardo Bertoni Junior, 471 – Fone/Fax (43) 3579 1607 CEP 84945-000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366">
      <w:rPr>
        <w:noProof/>
        <w:lang w:val="pt-BR" w:eastAsia="pt-BR" w:bidi="ar-SA"/>
      </w:rPr>
      <w:pict w14:anchorId="57ACF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5pt;height:88.5pt">
          <v:imagedata r:id="rId1" o:title="logo preta - (horizontal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3F5"/>
    <w:multiLevelType w:val="multilevel"/>
    <w:tmpl w:val="FCDC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24514"/>
    <w:multiLevelType w:val="multilevel"/>
    <w:tmpl w:val="B7E8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16049"/>
    <w:multiLevelType w:val="multilevel"/>
    <w:tmpl w:val="250A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11C18"/>
    <w:multiLevelType w:val="multilevel"/>
    <w:tmpl w:val="D77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762F9"/>
    <w:multiLevelType w:val="multilevel"/>
    <w:tmpl w:val="4930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87751"/>
    <w:multiLevelType w:val="multilevel"/>
    <w:tmpl w:val="4C22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C57B5"/>
    <w:multiLevelType w:val="hybridMultilevel"/>
    <w:tmpl w:val="1A385E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23A"/>
    <w:multiLevelType w:val="multilevel"/>
    <w:tmpl w:val="306C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B2AB4"/>
    <w:multiLevelType w:val="multilevel"/>
    <w:tmpl w:val="F76A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12F52"/>
    <w:multiLevelType w:val="multilevel"/>
    <w:tmpl w:val="26A6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5725C"/>
    <w:multiLevelType w:val="multilevel"/>
    <w:tmpl w:val="05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C0780"/>
    <w:multiLevelType w:val="multilevel"/>
    <w:tmpl w:val="CCAED6E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AB5F1C"/>
    <w:multiLevelType w:val="multilevel"/>
    <w:tmpl w:val="0F8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095684"/>
    <w:multiLevelType w:val="multilevel"/>
    <w:tmpl w:val="869E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142696"/>
    <w:multiLevelType w:val="multilevel"/>
    <w:tmpl w:val="262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30B9B"/>
    <w:multiLevelType w:val="hybridMultilevel"/>
    <w:tmpl w:val="F580CD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923D0"/>
    <w:multiLevelType w:val="multilevel"/>
    <w:tmpl w:val="2F7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9038B"/>
    <w:multiLevelType w:val="multilevel"/>
    <w:tmpl w:val="1C52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9708C"/>
    <w:multiLevelType w:val="multilevel"/>
    <w:tmpl w:val="0D1E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434D9D"/>
    <w:multiLevelType w:val="multilevel"/>
    <w:tmpl w:val="A5F2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837F3"/>
    <w:multiLevelType w:val="multilevel"/>
    <w:tmpl w:val="3EAA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16E49"/>
    <w:multiLevelType w:val="multilevel"/>
    <w:tmpl w:val="91EC77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2" w15:restartNumberingAfterBreak="0">
    <w:nsid w:val="69884D4A"/>
    <w:multiLevelType w:val="multilevel"/>
    <w:tmpl w:val="C630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72D39"/>
    <w:multiLevelType w:val="multilevel"/>
    <w:tmpl w:val="2CC2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13E4A"/>
    <w:multiLevelType w:val="hybridMultilevel"/>
    <w:tmpl w:val="25D820DE"/>
    <w:lvl w:ilvl="0" w:tplc="3A52E7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351BC"/>
    <w:multiLevelType w:val="multilevel"/>
    <w:tmpl w:val="E3BC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6F15FD"/>
    <w:multiLevelType w:val="multilevel"/>
    <w:tmpl w:val="8DD4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D2160"/>
    <w:multiLevelType w:val="multilevel"/>
    <w:tmpl w:val="4BE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E61BE2"/>
    <w:multiLevelType w:val="hybridMultilevel"/>
    <w:tmpl w:val="3DFC524C"/>
    <w:lvl w:ilvl="0" w:tplc="41DAB3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6"/>
  </w:num>
  <w:num w:numId="3">
    <w:abstractNumId w:val="15"/>
  </w:num>
  <w:num w:numId="4">
    <w:abstractNumId w:val="26"/>
  </w:num>
  <w:num w:numId="5">
    <w:abstractNumId w:val="2"/>
  </w:num>
  <w:num w:numId="6">
    <w:abstractNumId w:val="25"/>
  </w:num>
  <w:num w:numId="7">
    <w:abstractNumId w:val="20"/>
  </w:num>
  <w:num w:numId="8">
    <w:abstractNumId w:val="7"/>
  </w:num>
  <w:num w:numId="9">
    <w:abstractNumId w:val="16"/>
  </w:num>
  <w:num w:numId="10">
    <w:abstractNumId w:val="3"/>
  </w:num>
  <w:num w:numId="11">
    <w:abstractNumId w:val="13"/>
  </w:num>
  <w:num w:numId="12">
    <w:abstractNumId w:val="5"/>
  </w:num>
  <w:num w:numId="13">
    <w:abstractNumId w:val="4"/>
  </w:num>
  <w:num w:numId="14">
    <w:abstractNumId w:val="19"/>
  </w:num>
  <w:num w:numId="15">
    <w:abstractNumId w:val="27"/>
  </w:num>
  <w:num w:numId="16">
    <w:abstractNumId w:val="2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22"/>
  </w:num>
  <w:num w:numId="22">
    <w:abstractNumId w:val="24"/>
  </w:num>
  <w:num w:numId="23">
    <w:abstractNumId w:val="1"/>
  </w:num>
  <w:num w:numId="24">
    <w:abstractNumId w:val="11"/>
  </w:num>
  <w:num w:numId="25">
    <w:abstractNumId w:val="28"/>
  </w:num>
  <w:num w:numId="26">
    <w:abstractNumId w:val="17"/>
  </w:num>
  <w:num w:numId="27">
    <w:abstractNumId w:val="14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67"/>
    <w:rsid w:val="00066A75"/>
    <w:rsid w:val="0007107A"/>
    <w:rsid w:val="000807A0"/>
    <w:rsid w:val="00093C7D"/>
    <w:rsid w:val="000A008A"/>
    <w:rsid w:val="000A5CEE"/>
    <w:rsid w:val="000A6F7B"/>
    <w:rsid w:val="000C195A"/>
    <w:rsid w:val="000C67C1"/>
    <w:rsid w:val="000C6AE7"/>
    <w:rsid w:val="000D460E"/>
    <w:rsid w:val="000D764A"/>
    <w:rsid w:val="000D7A30"/>
    <w:rsid w:val="0010701D"/>
    <w:rsid w:val="001436D8"/>
    <w:rsid w:val="00146395"/>
    <w:rsid w:val="00146B07"/>
    <w:rsid w:val="00161ADF"/>
    <w:rsid w:val="00163528"/>
    <w:rsid w:val="001640C0"/>
    <w:rsid w:val="00165EBA"/>
    <w:rsid w:val="0019056E"/>
    <w:rsid w:val="00193CD8"/>
    <w:rsid w:val="001A7BF2"/>
    <w:rsid w:val="001C429E"/>
    <w:rsid w:val="001E6602"/>
    <w:rsid w:val="001F23C4"/>
    <w:rsid w:val="001F4409"/>
    <w:rsid w:val="0020633D"/>
    <w:rsid w:val="00227BA3"/>
    <w:rsid w:val="00244566"/>
    <w:rsid w:val="002533D6"/>
    <w:rsid w:val="00254B3E"/>
    <w:rsid w:val="0026045F"/>
    <w:rsid w:val="0026158A"/>
    <w:rsid w:val="00267CC6"/>
    <w:rsid w:val="002910BE"/>
    <w:rsid w:val="00294DCC"/>
    <w:rsid w:val="00297106"/>
    <w:rsid w:val="002B492C"/>
    <w:rsid w:val="002C021F"/>
    <w:rsid w:val="002C55FF"/>
    <w:rsid w:val="002C6581"/>
    <w:rsid w:val="002D1A73"/>
    <w:rsid w:val="002D40E4"/>
    <w:rsid w:val="002D4AAF"/>
    <w:rsid w:val="002E0DBE"/>
    <w:rsid w:val="002E59C1"/>
    <w:rsid w:val="002E6302"/>
    <w:rsid w:val="002E7D4E"/>
    <w:rsid w:val="002E7D8B"/>
    <w:rsid w:val="002F5A39"/>
    <w:rsid w:val="00302FC4"/>
    <w:rsid w:val="003052AF"/>
    <w:rsid w:val="00307821"/>
    <w:rsid w:val="003178FA"/>
    <w:rsid w:val="003370AA"/>
    <w:rsid w:val="003432F2"/>
    <w:rsid w:val="00347CD7"/>
    <w:rsid w:val="00354FB7"/>
    <w:rsid w:val="00355546"/>
    <w:rsid w:val="0037630B"/>
    <w:rsid w:val="00384671"/>
    <w:rsid w:val="00387762"/>
    <w:rsid w:val="003A1EA7"/>
    <w:rsid w:val="003B092D"/>
    <w:rsid w:val="003B7F0A"/>
    <w:rsid w:val="003D0440"/>
    <w:rsid w:val="003D0784"/>
    <w:rsid w:val="003D1AF0"/>
    <w:rsid w:val="003F2E43"/>
    <w:rsid w:val="00400511"/>
    <w:rsid w:val="00413A55"/>
    <w:rsid w:val="00435287"/>
    <w:rsid w:val="00436756"/>
    <w:rsid w:val="00446446"/>
    <w:rsid w:val="00457B14"/>
    <w:rsid w:val="00463538"/>
    <w:rsid w:val="0046717F"/>
    <w:rsid w:val="00473CE5"/>
    <w:rsid w:val="00476940"/>
    <w:rsid w:val="004D7EBC"/>
    <w:rsid w:val="004F2F2D"/>
    <w:rsid w:val="004F7CEC"/>
    <w:rsid w:val="00501F61"/>
    <w:rsid w:val="00507EC5"/>
    <w:rsid w:val="00517CFB"/>
    <w:rsid w:val="00543599"/>
    <w:rsid w:val="00546470"/>
    <w:rsid w:val="00562BAF"/>
    <w:rsid w:val="00564FBB"/>
    <w:rsid w:val="0057420B"/>
    <w:rsid w:val="005746E6"/>
    <w:rsid w:val="00574F7F"/>
    <w:rsid w:val="00576990"/>
    <w:rsid w:val="0058355C"/>
    <w:rsid w:val="00587FF3"/>
    <w:rsid w:val="005A6EDC"/>
    <w:rsid w:val="005B4B23"/>
    <w:rsid w:val="005C3CAB"/>
    <w:rsid w:val="005D1D84"/>
    <w:rsid w:val="005D2FA1"/>
    <w:rsid w:val="005E0CE1"/>
    <w:rsid w:val="005E18AD"/>
    <w:rsid w:val="005E29AB"/>
    <w:rsid w:val="005E6222"/>
    <w:rsid w:val="005F5BF9"/>
    <w:rsid w:val="00625205"/>
    <w:rsid w:val="0064223B"/>
    <w:rsid w:val="00647997"/>
    <w:rsid w:val="006516B3"/>
    <w:rsid w:val="006551A8"/>
    <w:rsid w:val="00661A84"/>
    <w:rsid w:val="00662299"/>
    <w:rsid w:val="00662470"/>
    <w:rsid w:val="0066646A"/>
    <w:rsid w:val="00672A2E"/>
    <w:rsid w:val="006820C0"/>
    <w:rsid w:val="00685658"/>
    <w:rsid w:val="0069053C"/>
    <w:rsid w:val="006A3F35"/>
    <w:rsid w:val="006A6A91"/>
    <w:rsid w:val="006E4CE8"/>
    <w:rsid w:val="006F0C20"/>
    <w:rsid w:val="006F71B0"/>
    <w:rsid w:val="00702150"/>
    <w:rsid w:val="007107D2"/>
    <w:rsid w:val="00723067"/>
    <w:rsid w:val="007257F2"/>
    <w:rsid w:val="00725E0E"/>
    <w:rsid w:val="00730214"/>
    <w:rsid w:val="007358C9"/>
    <w:rsid w:val="0073761C"/>
    <w:rsid w:val="00753BE8"/>
    <w:rsid w:val="007566C6"/>
    <w:rsid w:val="00762E13"/>
    <w:rsid w:val="00766174"/>
    <w:rsid w:val="0077238E"/>
    <w:rsid w:val="0077345C"/>
    <w:rsid w:val="007744AE"/>
    <w:rsid w:val="00781691"/>
    <w:rsid w:val="00794D2E"/>
    <w:rsid w:val="00796ECA"/>
    <w:rsid w:val="007B3DC7"/>
    <w:rsid w:val="007C59A0"/>
    <w:rsid w:val="007C5AD0"/>
    <w:rsid w:val="007C6F79"/>
    <w:rsid w:val="007D1C53"/>
    <w:rsid w:val="007D6890"/>
    <w:rsid w:val="007E16E0"/>
    <w:rsid w:val="007E237A"/>
    <w:rsid w:val="007F2D70"/>
    <w:rsid w:val="00813A5F"/>
    <w:rsid w:val="008517F5"/>
    <w:rsid w:val="0085492E"/>
    <w:rsid w:val="008619A0"/>
    <w:rsid w:val="008734D5"/>
    <w:rsid w:val="00876DD8"/>
    <w:rsid w:val="00897E5F"/>
    <w:rsid w:val="008A3592"/>
    <w:rsid w:val="008B03F4"/>
    <w:rsid w:val="008B090F"/>
    <w:rsid w:val="008B246B"/>
    <w:rsid w:val="008B26CB"/>
    <w:rsid w:val="008C28F7"/>
    <w:rsid w:val="008C38CA"/>
    <w:rsid w:val="008E3CF4"/>
    <w:rsid w:val="008E6857"/>
    <w:rsid w:val="00901B0A"/>
    <w:rsid w:val="0090443B"/>
    <w:rsid w:val="00924E37"/>
    <w:rsid w:val="00944B50"/>
    <w:rsid w:val="009456F6"/>
    <w:rsid w:val="009477A2"/>
    <w:rsid w:val="00954C59"/>
    <w:rsid w:val="009708CE"/>
    <w:rsid w:val="00982CDA"/>
    <w:rsid w:val="00982E3D"/>
    <w:rsid w:val="00990C97"/>
    <w:rsid w:val="009A3006"/>
    <w:rsid w:val="009B051A"/>
    <w:rsid w:val="009B1F6C"/>
    <w:rsid w:val="009B5DAA"/>
    <w:rsid w:val="009C5DC8"/>
    <w:rsid w:val="009D13D1"/>
    <w:rsid w:val="009D2DF5"/>
    <w:rsid w:val="009D57E4"/>
    <w:rsid w:val="009D7C27"/>
    <w:rsid w:val="009E731C"/>
    <w:rsid w:val="00A018C6"/>
    <w:rsid w:val="00A05F7D"/>
    <w:rsid w:val="00A10DA5"/>
    <w:rsid w:val="00A14B63"/>
    <w:rsid w:val="00A62B50"/>
    <w:rsid w:val="00A64C70"/>
    <w:rsid w:val="00A67B7A"/>
    <w:rsid w:val="00A81881"/>
    <w:rsid w:val="00A9530A"/>
    <w:rsid w:val="00A97829"/>
    <w:rsid w:val="00AA2EB6"/>
    <w:rsid w:val="00AA457D"/>
    <w:rsid w:val="00AC0EE0"/>
    <w:rsid w:val="00AC324A"/>
    <w:rsid w:val="00AE2FB9"/>
    <w:rsid w:val="00AE4269"/>
    <w:rsid w:val="00AE4A16"/>
    <w:rsid w:val="00AE5959"/>
    <w:rsid w:val="00AF7D6C"/>
    <w:rsid w:val="00B02278"/>
    <w:rsid w:val="00B061AA"/>
    <w:rsid w:val="00B1621C"/>
    <w:rsid w:val="00B22FDE"/>
    <w:rsid w:val="00B30953"/>
    <w:rsid w:val="00B311AF"/>
    <w:rsid w:val="00B6036C"/>
    <w:rsid w:val="00B60C8A"/>
    <w:rsid w:val="00B72823"/>
    <w:rsid w:val="00B75199"/>
    <w:rsid w:val="00B969B5"/>
    <w:rsid w:val="00BA231A"/>
    <w:rsid w:val="00BB4ADA"/>
    <w:rsid w:val="00BC2A19"/>
    <w:rsid w:val="00BD71F2"/>
    <w:rsid w:val="00BE3F1E"/>
    <w:rsid w:val="00BF1522"/>
    <w:rsid w:val="00C06596"/>
    <w:rsid w:val="00C12CA1"/>
    <w:rsid w:val="00C202B4"/>
    <w:rsid w:val="00C33B93"/>
    <w:rsid w:val="00C36702"/>
    <w:rsid w:val="00C55342"/>
    <w:rsid w:val="00C600FF"/>
    <w:rsid w:val="00C64B7E"/>
    <w:rsid w:val="00C66753"/>
    <w:rsid w:val="00C749B6"/>
    <w:rsid w:val="00C86691"/>
    <w:rsid w:val="00C86AD8"/>
    <w:rsid w:val="00C919FB"/>
    <w:rsid w:val="00C93D42"/>
    <w:rsid w:val="00CA7BB0"/>
    <w:rsid w:val="00CC3FFE"/>
    <w:rsid w:val="00CC7973"/>
    <w:rsid w:val="00CD7D26"/>
    <w:rsid w:val="00CF0E5C"/>
    <w:rsid w:val="00D10A75"/>
    <w:rsid w:val="00D21366"/>
    <w:rsid w:val="00D4301B"/>
    <w:rsid w:val="00D43A38"/>
    <w:rsid w:val="00D45D52"/>
    <w:rsid w:val="00D5702E"/>
    <w:rsid w:val="00D62417"/>
    <w:rsid w:val="00D64A50"/>
    <w:rsid w:val="00D656AE"/>
    <w:rsid w:val="00D7197C"/>
    <w:rsid w:val="00D804F3"/>
    <w:rsid w:val="00D856B1"/>
    <w:rsid w:val="00DB08CF"/>
    <w:rsid w:val="00DC3F78"/>
    <w:rsid w:val="00DC7C9F"/>
    <w:rsid w:val="00DD655C"/>
    <w:rsid w:val="00DF53DF"/>
    <w:rsid w:val="00E05652"/>
    <w:rsid w:val="00E11236"/>
    <w:rsid w:val="00E21D10"/>
    <w:rsid w:val="00E2344B"/>
    <w:rsid w:val="00E50712"/>
    <w:rsid w:val="00E50E3B"/>
    <w:rsid w:val="00E56A6A"/>
    <w:rsid w:val="00E56CA7"/>
    <w:rsid w:val="00E57CE3"/>
    <w:rsid w:val="00E603DC"/>
    <w:rsid w:val="00E726D5"/>
    <w:rsid w:val="00E734AF"/>
    <w:rsid w:val="00E9292C"/>
    <w:rsid w:val="00E93B0A"/>
    <w:rsid w:val="00EA655D"/>
    <w:rsid w:val="00EA6DF8"/>
    <w:rsid w:val="00EA7F2A"/>
    <w:rsid w:val="00EB2CD9"/>
    <w:rsid w:val="00EC6126"/>
    <w:rsid w:val="00EE039E"/>
    <w:rsid w:val="00EF20CE"/>
    <w:rsid w:val="00EF2854"/>
    <w:rsid w:val="00EF5797"/>
    <w:rsid w:val="00F11881"/>
    <w:rsid w:val="00F154A5"/>
    <w:rsid w:val="00F166D6"/>
    <w:rsid w:val="00F4142F"/>
    <w:rsid w:val="00F52D78"/>
    <w:rsid w:val="00F55961"/>
    <w:rsid w:val="00F61750"/>
    <w:rsid w:val="00F64297"/>
    <w:rsid w:val="00F6758E"/>
    <w:rsid w:val="00F81BE8"/>
    <w:rsid w:val="00F958CC"/>
    <w:rsid w:val="00FA4F9B"/>
    <w:rsid w:val="00FA7875"/>
    <w:rsid w:val="00FB6828"/>
    <w:rsid w:val="00FD71BF"/>
    <w:rsid w:val="00FE5F2E"/>
    <w:rsid w:val="00FE6DED"/>
    <w:rsid w:val="00FF48AA"/>
    <w:rsid w:val="00FF4B9B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CB7C"/>
  <w15:docId w15:val="{C42E64D1-A0AF-48BB-8667-C269B0D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36"/>
      <w:ind w:left="11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4C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1B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2B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7E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7875"/>
    <w:pPr>
      <w:widowControl/>
      <w:suppressAutoHyphens/>
      <w:autoSpaceDE/>
    </w:pPr>
    <w:rPr>
      <w:rFonts w:ascii="Arial" w:eastAsia="Helvetica" w:hAnsi="Arial" w:cs="Arial"/>
      <w:color w:val="000000"/>
      <w:kern w:val="3"/>
      <w:sz w:val="24"/>
      <w:szCs w:val="24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DC3F78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81B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hgkelc">
    <w:name w:val="hgkelc"/>
    <w:basedOn w:val="Fontepargpadro"/>
    <w:rsid w:val="0057420B"/>
  </w:style>
  <w:style w:type="character" w:customStyle="1" w:styleId="MenoPendente1">
    <w:name w:val="Menção Pendente1"/>
    <w:basedOn w:val="Fontepargpadro"/>
    <w:uiPriority w:val="99"/>
    <w:semiHidden/>
    <w:unhideWhenUsed/>
    <w:rsid w:val="00FE5F2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B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BAF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2BAF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A64C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character" w:customStyle="1" w:styleId="markedcontent">
    <w:name w:val="markedcontent"/>
    <w:basedOn w:val="Fontepargpadro"/>
    <w:rsid w:val="00E56CA7"/>
  </w:style>
  <w:style w:type="paragraph" w:styleId="NormalWeb">
    <w:name w:val="Normal (Web)"/>
    <w:basedOn w:val="Normal"/>
    <w:uiPriority w:val="99"/>
    <w:unhideWhenUsed/>
    <w:rsid w:val="005A6E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A6EDC"/>
    <w:rPr>
      <w:b/>
      <w:bCs/>
    </w:rPr>
  </w:style>
  <w:style w:type="character" w:customStyle="1" w:styleId="desc">
    <w:name w:val="desc"/>
    <w:basedOn w:val="Fontepargpadro"/>
    <w:rsid w:val="007C6F79"/>
  </w:style>
  <w:style w:type="paragraph" w:styleId="SemEspaamento">
    <w:name w:val="No Spacing"/>
    <w:uiPriority w:val="1"/>
    <w:qFormat/>
    <w:rsid w:val="00DC7C9F"/>
    <w:pPr>
      <w:widowControl/>
      <w:autoSpaceDE/>
      <w:autoSpaceDN/>
    </w:pPr>
    <w:rPr>
      <w:lang w:val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6429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F5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5797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F5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797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5521-6EA0-421C-8265-2F13058C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    I - TEMPESTIVIDADE</vt:lpstr>
      <vt:lpstr>        II - CONTAGEM PROPORCIONAL DO TEMPO DE SERVIÇO</vt:lpstr>
      <vt:lpstr>        III - CURSOS DE APERFEIÇOAMENTO REALIZADOS DURANTE A GRADUAÇÃO</vt:lpstr>
      <vt:lpstr>        IV - AUTENTICAÇÃO DE DOCUMENTOS</vt:lpstr>
      <vt:lpstr>        </vt:lpstr>
      <vt:lpstr>        V - PRAZO DE INSCRIÇÃO</vt:lpstr>
      <vt:lpstr>        VI - Conclusão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Emanuel</cp:lastModifiedBy>
  <cp:revision>3</cp:revision>
  <cp:lastPrinted>2023-02-07T14:21:00Z</cp:lastPrinted>
  <dcterms:created xsi:type="dcterms:W3CDTF">2025-01-17T15:06:00Z</dcterms:created>
  <dcterms:modified xsi:type="dcterms:W3CDTF">2025-01-17T18:32:00Z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2020-05-18T00:00:00Z</vt:filetime>
  </property>
</Properties>
</file>